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6764" w14:textId="748CCB7F" w:rsidR="002C677E" w:rsidRPr="002C677E" w:rsidRDefault="002C677E">
      <w:pPr>
        <w:rPr>
          <w:b/>
          <w:bCs/>
        </w:rPr>
      </w:pPr>
      <w:r w:rsidRPr="002C677E">
        <w:rPr>
          <w:b/>
          <w:bCs/>
        </w:rPr>
        <w:t>+++ Quiz +++ Mobilität und öffentlicher Raum +++ Quiz +++ Mobilität und öffentlicher Raum +++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"/>
        <w:gridCol w:w="8675"/>
      </w:tblGrid>
      <w:tr w:rsidR="002C677E" w14:paraId="297C4526" w14:textId="77777777" w:rsidTr="005B5CE7">
        <w:tc>
          <w:tcPr>
            <w:tcW w:w="387" w:type="dxa"/>
          </w:tcPr>
          <w:p w14:paraId="5A493131" w14:textId="77777777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1</w:t>
            </w:r>
          </w:p>
        </w:tc>
        <w:tc>
          <w:tcPr>
            <w:tcW w:w="8675" w:type="dxa"/>
          </w:tcPr>
          <w:p w14:paraId="1DBC445C" w14:textId="77777777" w:rsidR="002C677E" w:rsidRDefault="002C677E" w:rsidP="00414633">
            <w:r>
              <w:t xml:space="preserve">Die Einwohnerzahl von Berlin wuchs von 2008 bis 2018 um 11%. </w:t>
            </w:r>
          </w:p>
          <w:p w14:paraId="6C740A9A" w14:textId="5867B5F4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Wie entwickelte sich im selben Zeitraum:</w:t>
            </w:r>
          </w:p>
          <w:p w14:paraId="3AC7A118" w14:textId="77777777" w:rsidR="002C677E" w:rsidRDefault="002C677E" w:rsidP="00414633">
            <w:pPr>
              <w:pStyle w:val="Listenabsatz"/>
              <w:numPr>
                <w:ilvl w:val="0"/>
                <w:numId w:val="1"/>
              </w:numPr>
            </w:pPr>
            <w:r w:rsidRPr="005B5CE7">
              <w:rPr>
                <w:b/>
                <w:bCs/>
              </w:rPr>
              <w:t>die Spielplatzfläche pro Kopf</w:t>
            </w:r>
            <w:r>
              <w:t xml:space="preserve">: +-0% </w:t>
            </w:r>
          </w:p>
          <w:p w14:paraId="177BE5F8" w14:textId="77777777" w:rsidR="002C677E" w:rsidRDefault="002C677E" w:rsidP="00414633">
            <w:pPr>
              <w:pStyle w:val="Listenabsatz"/>
              <w:numPr>
                <w:ilvl w:val="0"/>
                <w:numId w:val="1"/>
              </w:numPr>
            </w:pPr>
            <w:r w:rsidRPr="005B5CE7">
              <w:rPr>
                <w:b/>
                <w:bCs/>
              </w:rPr>
              <w:t>der Bestand an Autos</w:t>
            </w:r>
            <w:r>
              <w:t>: +12%</w:t>
            </w:r>
          </w:p>
          <w:p w14:paraId="0732232E" w14:textId="77777777" w:rsidR="002C677E" w:rsidRPr="005E7FE8" w:rsidRDefault="002C677E" w:rsidP="00414633">
            <w:pPr>
              <w:rPr>
                <w:i/>
                <w:iCs/>
              </w:rPr>
            </w:pPr>
            <w:r w:rsidRPr="005E7FE8">
              <w:rPr>
                <w:i/>
                <w:iCs/>
              </w:rPr>
              <w:t>(Quelle: Amt für Statistik berlin-Brandenburg, SenUVK)</w:t>
            </w:r>
          </w:p>
        </w:tc>
      </w:tr>
      <w:tr w:rsidR="002C677E" w14:paraId="21F6990E" w14:textId="77777777" w:rsidTr="005B5CE7">
        <w:tc>
          <w:tcPr>
            <w:tcW w:w="387" w:type="dxa"/>
          </w:tcPr>
          <w:p w14:paraId="1F758771" w14:textId="77777777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 xml:space="preserve">2. </w:t>
            </w:r>
          </w:p>
        </w:tc>
        <w:tc>
          <w:tcPr>
            <w:tcW w:w="8675" w:type="dxa"/>
          </w:tcPr>
          <w:p w14:paraId="7AD9BC36" w14:textId="77777777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Parkgebühren in der Innenstadt pro Stunde (Straßenparken)</w:t>
            </w:r>
          </w:p>
          <w:p w14:paraId="0E164C5F" w14:textId="77777777" w:rsidR="002C677E" w:rsidRDefault="002C677E" w:rsidP="00414633">
            <w:r>
              <w:t>Amsterdam: 5€</w:t>
            </w:r>
          </w:p>
          <w:p w14:paraId="087C8998" w14:textId="77777777" w:rsidR="002C677E" w:rsidRDefault="002C677E" w:rsidP="00414633">
            <w:r>
              <w:t>Berlin 2€</w:t>
            </w:r>
          </w:p>
          <w:p w14:paraId="2CB73EB9" w14:textId="77777777" w:rsidR="002C677E" w:rsidRDefault="002C677E" w:rsidP="00414633">
            <w:r>
              <w:t>Paris 4€</w:t>
            </w:r>
          </w:p>
          <w:p w14:paraId="2935E67F" w14:textId="77777777" w:rsidR="002C677E" w:rsidRDefault="002C677E" w:rsidP="00414633">
            <w:r>
              <w:t>Tallinn: 6€</w:t>
            </w:r>
          </w:p>
          <w:p w14:paraId="0CEE0305" w14:textId="255016AE" w:rsidR="001E300E" w:rsidRDefault="005E7FE8" w:rsidP="00414633">
            <w:r>
              <w:rPr>
                <w:i/>
                <w:iCs/>
              </w:rPr>
              <w:t xml:space="preserve">(Quelle: </w:t>
            </w:r>
            <w:r w:rsidR="00104E30" w:rsidRPr="005E7FE8">
              <w:rPr>
                <w:i/>
                <w:iCs/>
              </w:rPr>
              <w:t xml:space="preserve">Die </w:t>
            </w:r>
            <w:proofErr w:type="spellStart"/>
            <w:r w:rsidR="00104E30" w:rsidRPr="005E7FE8">
              <w:rPr>
                <w:i/>
                <w:iCs/>
              </w:rPr>
              <w:t>ParkGebO</w:t>
            </w:r>
            <w:proofErr w:type="spellEnd"/>
            <w:r w:rsidR="00104E30" w:rsidRPr="005E7FE8">
              <w:rPr>
                <w:i/>
                <w:iCs/>
              </w:rPr>
              <w:t xml:space="preserve"> sowie Internetseiten der genannten Städte</w:t>
            </w:r>
            <w:r>
              <w:rPr>
                <w:i/>
                <w:iCs/>
              </w:rPr>
              <w:t>)</w:t>
            </w:r>
          </w:p>
        </w:tc>
      </w:tr>
      <w:tr w:rsidR="002C677E" w14:paraId="2366BC69" w14:textId="77777777" w:rsidTr="005B5CE7">
        <w:tc>
          <w:tcPr>
            <w:tcW w:w="387" w:type="dxa"/>
          </w:tcPr>
          <w:p w14:paraId="0C5A7772" w14:textId="77777777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3</w:t>
            </w:r>
          </w:p>
        </w:tc>
        <w:tc>
          <w:tcPr>
            <w:tcW w:w="8675" w:type="dxa"/>
          </w:tcPr>
          <w:p w14:paraId="05A4FD3A" w14:textId="77777777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Gebühren für das Anwohnerparken in Parkzonen (pro Jahr):</w:t>
            </w:r>
          </w:p>
          <w:p w14:paraId="25933F03" w14:textId="77777777" w:rsidR="002C677E" w:rsidRDefault="002C677E" w:rsidP="00414633">
            <w:r>
              <w:t>Berlin: 10,20€</w:t>
            </w:r>
          </w:p>
          <w:p w14:paraId="1CE51E9F" w14:textId="77777777" w:rsidR="002C677E" w:rsidRDefault="002C677E" w:rsidP="00414633">
            <w:r>
              <w:t>Cottbus: 31€</w:t>
            </w:r>
          </w:p>
          <w:p w14:paraId="1CD48D02" w14:textId="77777777" w:rsidR="002C677E" w:rsidRDefault="002C677E" w:rsidP="00414633">
            <w:r>
              <w:t>Amsterdam 535€</w:t>
            </w:r>
          </w:p>
          <w:p w14:paraId="2B15AF76" w14:textId="77777777" w:rsidR="002C677E" w:rsidRDefault="002C677E" w:rsidP="00414633">
            <w:r>
              <w:t>Stockholm: 827€</w:t>
            </w:r>
          </w:p>
          <w:p w14:paraId="21325800" w14:textId="1591DB90" w:rsidR="00104E30" w:rsidRDefault="005E7FE8" w:rsidP="00414633">
            <w:r>
              <w:rPr>
                <w:i/>
                <w:iCs/>
              </w:rPr>
              <w:t xml:space="preserve">(Quelle: </w:t>
            </w:r>
            <w:r w:rsidR="00104E30" w:rsidRPr="005E7FE8">
              <w:rPr>
                <w:i/>
                <w:iCs/>
              </w:rPr>
              <w:t>Die Internetseiten der jeweiligen Städte</w:t>
            </w:r>
            <w:r>
              <w:rPr>
                <w:i/>
                <w:iCs/>
              </w:rPr>
              <w:t>)</w:t>
            </w:r>
            <w:r w:rsidR="00104E30" w:rsidRPr="005E7FE8">
              <w:rPr>
                <w:i/>
                <w:iCs/>
              </w:rPr>
              <w:t xml:space="preserve"> </w:t>
            </w:r>
          </w:p>
        </w:tc>
      </w:tr>
      <w:tr w:rsidR="001E300E" w14:paraId="24504868" w14:textId="77777777" w:rsidTr="005B5CE7">
        <w:tc>
          <w:tcPr>
            <w:tcW w:w="387" w:type="dxa"/>
          </w:tcPr>
          <w:p w14:paraId="02E6E590" w14:textId="125E66CA" w:rsidR="001E300E" w:rsidRPr="005B5CE7" w:rsidRDefault="001E300E" w:rsidP="001E300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75" w:type="dxa"/>
          </w:tcPr>
          <w:p w14:paraId="2BADF35A" w14:textId="77777777" w:rsidR="001E300E" w:rsidRDefault="001E300E" w:rsidP="001E300E">
            <w:r w:rsidRPr="005B5CE7">
              <w:rPr>
                <w:b/>
                <w:bCs/>
              </w:rPr>
              <w:t xml:space="preserve">Wie lange wird ein Auto in Deutschland am Tag durchschnittlich </w:t>
            </w:r>
            <w:proofErr w:type="gramStart"/>
            <w:r w:rsidRPr="005B5CE7">
              <w:rPr>
                <w:b/>
                <w:bCs/>
              </w:rPr>
              <w:t>benutzt?:</w:t>
            </w:r>
            <w:proofErr w:type="gramEnd"/>
            <w:r>
              <w:t xml:space="preserve"> &lt; 1Stunde</w:t>
            </w:r>
          </w:p>
          <w:p w14:paraId="4B5D863B" w14:textId="77777777" w:rsidR="001E300E" w:rsidRDefault="001E300E" w:rsidP="001E300E">
            <w:r w:rsidRPr="000D2B89">
              <w:t xml:space="preserve">(Lehmbrock 2000: 69; </w:t>
            </w:r>
            <w:proofErr w:type="spellStart"/>
            <w:r w:rsidRPr="000D2B89">
              <w:t>Pfotenhauer</w:t>
            </w:r>
            <w:proofErr w:type="spellEnd"/>
            <w:r w:rsidRPr="000D2B89">
              <w:t xml:space="preserve"> 2015: 251)</w:t>
            </w:r>
          </w:p>
          <w:p w14:paraId="5DF36AA9" w14:textId="77777777" w:rsidR="001E300E" w:rsidRDefault="001E300E" w:rsidP="001E300E">
            <w:r>
              <w:t>In den Innenstädten werden Autos weniger intensiv genutzt als weiter draußen.</w:t>
            </w:r>
          </w:p>
          <w:p w14:paraId="5E4FBE71" w14:textId="77777777" w:rsidR="001E300E" w:rsidRDefault="001E300E" w:rsidP="001E300E">
            <w:r w:rsidRPr="005B5CE7">
              <w:rPr>
                <w:b/>
                <w:bCs/>
              </w:rPr>
              <w:t xml:space="preserve">Welcher Anteil von Autos in den Innenstädten wird seltener als viermal im Monat </w:t>
            </w:r>
            <w:proofErr w:type="gramStart"/>
            <w:r w:rsidRPr="005B5CE7">
              <w:rPr>
                <w:b/>
                <w:bCs/>
              </w:rPr>
              <w:t>bewegt?:</w:t>
            </w:r>
            <w:proofErr w:type="gramEnd"/>
            <w:r>
              <w:t xml:space="preserve"> 10% </w:t>
            </w:r>
          </w:p>
          <w:p w14:paraId="6F016A1A" w14:textId="2A2DE704" w:rsidR="001E300E" w:rsidRPr="005E7FE8" w:rsidRDefault="005E7FE8" w:rsidP="001E300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E7FE8">
              <w:rPr>
                <w:i/>
                <w:iCs/>
              </w:rPr>
              <w:t xml:space="preserve">Quelle: </w:t>
            </w:r>
            <w:r w:rsidR="001E300E" w:rsidRPr="005E7FE8">
              <w:rPr>
                <w:i/>
                <w:iCs/>
              </w:rPr>
              <w:t>Lenz 2015: 24f.</w:t>
            </w:r>
            <w:r>
              <w:rPr>
                <w:i/>
                <w:iCs/>
              </w:rPr>
              <w:t>)</w:t>
            </w:r>
          </w:p>
        </w:tc>
      </w:tr>
      <w:tr w:rsidR="001E300E" w14:paraId="02E08A12" w14:textId="77777777" w:rsidTr="005B5CE7">
        <w:tc>
          <w:tcPr>
            <w:tcW w:w="387" w:type="dxa"/>
          </w:tcPr>
          <w:p w14:paraId="3756DBC4" w14:textId="15EE4A97" w:rsidR="001E300E" w:rsidRPr="005B5CE7" w:rsidRDefault="001E300E" w:rsidP="001E300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75" w:type="dxa"/>
          </w:tcPr>
          <w:p w14:paraId="1A39BCF5" w14:textId="77777777" w:rsidR="001E300E" w:rsidRDefault="001E300E" w:rsidP="001E300E">
            <w:r w:rsidRPr="005B5CE7">
              <w:rPr>
                <w:b/>
                <w:bCs/>
              </w:rPr>
              <w:t>Wie hoch ist der Anteil der Wege die BerlinerInnen zurücklegen</w:t>
            </w:r>
            <w:r>
              <w:t xml:space="preserve"> (Zahlen für 2017)</w:t>
            </w:r>
          </w:p>
          <w:p w14:paraId="3412B2CF" w14:textId="77777777" w:rsidR="001E300E" w:rsidRDefault="001E300E" w:rsidP="001E300E">
            <w:r>
              <w:t>Zu Fuß: 27%, Fahrrad: 15%, Öffis: 25%, Auto/Motorrad: 33%</w:t>
            </w:r>
          </w:p>
          <w:p w14:paraId="4C6284B1" w14:textId="77777777" w:rsidR="001E300E" w:rsidRPr="005B5CE7" w:rsidRDefault="001E300E" w:rsidP="001E300E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 xml:space="preserve">Und wie sieht es in Amsterdam </w:t>
            </w:r>
            <w:proofErr w:type="gramStart"/>
            <w:r w:rsidRPr="005B5CE7">
              <w:rPr>
                <w:b/>
                <w:bCs/>
              </w:rPr>
              <w:t>aus?:</w:t>
            </w:r>
            <w:proofErr w:type="gramEnd"/>
          </w:p>
          <w:p w14:paraId="62AB5FCC" w14:textId="77777777" w:rsidR="001E300E" w:rsidRDefault="001E300E" w:rsidP="001E300E">
            <w:r>
              <w:t>Zu Fuß: 29%, Fahrrad: 32%, Öffis: 17%, Auto/Motorrad:22%</w:t>
            </w:r>
          </w:p>
          <w:p w14:paraId="7A895DCD" w14:textId="525F1015" w:rsidR="00D269E0" w:rsidRPr="00371C4D" w:rsidRDefault="00951285" w:rsidP="001E300E">
            <w:pPr>
              <w:rPr>
                <w:i/>
                <w:iCs/>
              </w:rPr>
            </w:pPr>
            <w:r w:rsidRPr="00371C4D">
              <w:rPr>
                <w:i/>
                <w:iCs/>
              </w:rPr>
              <w:t>(Bundesstiftung Baukultur, 2020: 87)</w:t>
            </w:r>
          </w:p>
        </w:tc>
      </w:tr>
      <w:tr w:rsidR="001E300E" w14:paraId="1CB538F8" w14:textId="77777777" w:rsidTr="005B5CE7">
        <w:tc>
          <w:tcPr>
            <w:tcW w:w="387" w:type="dxa"/>
          </w:tcPr>
          <w:p w14:paraId="7B1D8D1B" w14:textId="139C4476" w:rsidR="001E300E" w:rsidRPr="005B5CE7" w:rsidRDefault="001E300E" w:rsidP="001E30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75" w:type="dxa"/>
          </w:tcPr>
          <w:p w14:paraId="37BB4A56" w14:textId="77777777" w:rsidR="001E300E" w:rsidRPr="005B5CE7" w:rsidRDefault="001E300E" w:rsidP="001E300E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Wie ist der Straßenraum in Berlin verteilt?</w:t>
            </w:r>
          </w:p>
          <w:p w14:paraId="271F83A9" w14:textId="77777777" w:rsidR="001E300E" w:rsidRDefault="001E300E" w:rsidP="001E300E">
            <w:r>
              <w:t>Fließender Autoverkehr: 39%</w:t>
            </w:r>
          </w:p>
          <w:p w14:paraId="7F0AA9A1" w14:textId="77777777" w:rsidR="001E300E" w:rsidRDefault="001E300E" w:rsidP="001E300E">
            <w:r>
              <w:t xml:space="preserve">Ruhender Autoverkehr: 19% </w:t>
            </w:r>
          </w:p>
          <w:p w14:paraId="571A9161" w14:textId="77777777" w:rsidR="001E300E" w:rsidRDefault="001E300E" w:rsidP="001E300E">
            <w:r>
              <w:t>Fahrradverkehr: 3%</w:t>
            </w:r>
          </w:p>
          <w:p w14:paraId="314814E0" w14:textId="77777777" w:rsidR="001E300E" w:rsidRDefault="001E300E" w:rsidP="001E300E">
            <w:r>
              <w:t>Fußverkehr: 33%</w:t>
            </w:r>
          </w:p>
          <w:p w14:paraId="355598A9" w14:textId="77777777" w:rsidR="001E300E" w:rsidRDefault="001E300E" w:rsidP="001E300E">
            <w:r>
              <w:t>Sonstiges: 6%</w:t>
            </w:r>
          </w:p>
          <w:p w14:paraId="2FCE6995" w14:textId="39145B91" w:rsidR="001E300E" w:rsidRDefault="001E300E" w:rsidP="001E300E">
            <w:r w:rsidRPr="005E7FE8">
              <w:rPr>
                <w:i/>
                <w:iCs/>
              </w:rPr>
              <w:t>(Quelle</w:t>
            </w:r>
            <w:r w:rsidR="005E7FE8" w:rsidRPr="005E7FE8">
              <w:rPr>
                <w:i/>
                <w:iCs/>
              </w:rPr>
              <w:t>:</w:t>
            </w:r>
            <w:r w:rsidRPr="005E7FE8">
              <w:rPr>
                <w:i/>
                <w:iCs/>
              </w:rPr>
              <w:t xml:space="preserve"> </w:t>
            </w:r>
            <w:proofErr w:type="spellStart"/>
            <w:r w:rsidR="00D269E0" w:rsidRPr="005E7FE8">
              <w:rPr>
                <w:i/>
                <w:iCs/>
              </w:rPr>
              <w:t>Stößenreuther</w:t>
            </w:r>
            <w:proofErr w:type="spellEnd"/>
            <w:r w:rsidR="00D269E0" w:rsidRPr="005E7FE8">
              <w:rPr>
                <w:i/>
                <w:iCs/>
              </w:rPr>
              <w:t xml:space="preserve"> 2014: 7</w:t>
            </w:r>
            <w:r w:rsidRPr="005E7FE8">
              <w:rPr>
                <w:i/>
                <w:iCs/>
              </w:rPr>
              <w:t>)</w:t>
            </w:r>
          </w:p>
        </w:tc>
      </w:tr>
    </w:tbl>
    <w:p w14:paraId="5ADA3B1F" w14:textId="77777777" w:rsidR="005B5CE7" w:rsidRDefault="005B5CE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"/>
        <w:gridCol w:w="742"/>
        <w:gridCol w:w="3261"/>
        <w:gridCol w:w="4677"/>
      </w:tblGrid>
      <w:tr w:rsidR="002C677E" w14:paraId="38398553" w14:textId="77777777" w:rsidTr="001E300E">
        <w:tc>
          <w:tcPr>
            <w:tcW w:w="387" w:type="dxa"/>
          </w:tcPr>
          <w:p w14:paraId="167E8BB3" w14:textId="77777777" w:rsidR="002C677E" w:rsidRPr="005B5CE7" w:rsidRDefault="002C677E" w:rsidP="00414633">
            <w:pPr>
              <w:rPr>
                <w:b/>
                <w:bCs/>
              </w:rPr>
            </w:pPr>
            <w:r w:rsidRPr="005B5CE7">
              <w:rPr>
                <w:b/>
                <w:bCs/>
              </w:rPr>
              <w:t>7</w:t>
            </w:r>
          </w:p>
        </w:tc>
        <w:tc>
          <w:tcPr>
            <w:tcW w:w="8680" w:type="dxa"/>
            <w:gridSpan w:val="3"/>
          </w:tcPr>
          <w:p w14:paraId="162583AF" w14:textId="3DA5FAB6" w:rsidR="002C677E" w:rsidRDefault="002C677E" w:rsidP="001E300E">
            <w:r>
              <w:t>Zusatzaufgabe:</w:t>
            </w:r>
            <w:r w:rsidR="005B5CE7">
              <w:t xml:space="preserve"> </w:t>
            </w:r>
            <w:r w:rsidR="005B5CE7" w:rsidRPr="009A05E2">
              <w:rPr>
                <w:b/>
                <w:bCs/>
              </w:rPr>
              <w:t>Verkehrsanteile und Anteile am öffentlichen Raum in Berlin im Vergleich:</w:t>
            </w:r>
          </w:p>
        </w:tc>
      </w:tr>
      <w:tr w:rsidR="005B5CE7" w14:paraId="067DDA7C" w14:textId="77777777" w:rsidTr="001E300E">
        <w:tc>
          <w:tcPr>
            <w:tcW w:w="1129" w:type="dxa"/>
            <w:gridSpan w:val="2"/>
          </w:tcPr>
          <w:p w14:paraId="202817BC" w14:textId="77777777" w:rsidR="005B5CE7" w:rsidRDefault="005B5CE7" w:rsidP="00414633"/>
        </w:tc>
        <w:tc>
          <w:tcPr>
            <w:tcW w:w="3261" w:type="dxa"/>
          </w:tcPr>
          <w:p w14:paraId="3D2345A3" w14:textId="524C3EB2" w:rsidR="005B5CE7" w:rsidRDefault="005B5CE7" w:rsidP="00414633">
            <w:r>
              <w:t>Verkehrsanteil</w:t>
            </w:r>
            <w:r w:rsidR="001E300E">
              <w:t xml:space="preserve"> </w:t>
            </w:r>
            <w:r>
              <w:t xml:space="preserve">(aus Frage </w:t>
            </w:r>
            <w:r w:rsidR="001E300E">
              <w:t>5</w:t>
            </w:r>
            <w:r>
              <w:t>)</w:t>
            </w:r>
          </w:p>
        </w:tc>
        <w:tc>
          <w:tcPr>
            <w:tcW w:w="4677" w:type="dxa"/>
          </w:tcPr>
          <w:p w14:paraId="0D335CDA" w14:textId="34057283" w:rsidR="005B5CE7" w:rsidRDefault="005B5CE7" w:rsidP="00414633">
            <w:r>
              <w:t xml:space="preserve">Anteil am öffentlichen Raum (aus Frage </w:t>
            </w:r>
            <w:r w:rsidR="001E300E">
              <w:t>6</w:t>
            </w:r>
            <w:r>
              <w:t>)</w:t>
            </w:r>
          </w:p>
        </w:tc>
      </w:tr>
      <w:tr w:rsidR="005B5CE7" w14:paraId="4BA37BFA" w14:textId="77777777" w:rsidTr="001E300E">
        <w:tc>
          <w:tcPr>
            <w:tcW w:w="1129" w:type="dxa"/>
            <w:gridSpan w:val="2"/>
          </w:tcPr>
          <w:p w14:paraId="25337EDF" w14:textId="77777777" w:rsidR="005B5CE7" w:rsidRDefault="005B5CE7" w:rsidP="00414633">
            <w:r>
              <w:t>Zu Fuß</w:t>
            </w:r>
          </w:p>
        </w:tc>
        <w:tc>
          <w:tcPr>
            <w:tcW w:w="3261" w:type="dxa"/>
          </w:tcPr>
          <w:p w14:paraId="4396F0DA" w14:textId="77777777" w:rsidR="005B5CE7" w:rsidRDefault="005B5CE7" w:rsidP="00414633">
            <w:r>
              <w:t>27 %</w:t>
            </w:r>
          </w:p>
        </w:tc>
        <w:tc>
          <w:tcPr>
            <w:tcW w:w="4677" w:type="dxa"/>
          </w:tcPr>
          <w:p w14:paraId="10A2ABBF" w14:textId="77777777" w:rsidR="005B5CE7" w:rsidRDefault="005B5CE7" w:rsidP="00414633">
            <w:r>
              <w:t>33%</w:t>
            </w:r>
          </w:p>
        </w:tc>
      </w:tr>
      <w:tr w:rsidR="005B5CE7" w14:paraId="0485C1F1" w14:textId="77777777" w:rsidTr="001E300E">
        <w:tc>
          <w:tcPr>
            <w:tcW w:w="1129" w:type="dxa"/>
            <w:gridSpan w:val="2"/>
          </w:tcPr>
          <w:p w14:paraId="59D80B7F" w14:textId="77777777" w:rsidR="005B5CE7" w:rsidRDefault="005B5CE7" w:rsidP="00414633">
            <w:r>
              <w:t>Fahrrad</w:t>
            </w:r>
          </w:p>
        </w:tc>
        <w:tc>
          <w:tcPr>
            <w:tcW w:w="3261" w:type="dxa"/>
          </w:tcPr>
          <w:p w14:paraId="503DF3A2" w14:textId="77777777" w:rsidR="005B5CE7" w:rsidRDefault="005B5CE7" w:rsidP="00414633">
            <w:r>
              <w:t>15%</w:t>
            </w:r>
          </w:p>
        </w:tc>
        <w:tc>
          <w:tcPr>
            <w:tcW w:w="4677" w:type="dxa"/>
          </w:tcPr>
          <w:p w14:paraId="73B8684A" w14:textId="77777777" w:rsidR="005B5CE7" w:rsidRDefault="005B5CE7" w:rsidP="00414633">
            <w:r>
              <w:t>3%</w:t>
            </w:r>
          </w:p>
        </w:tc>
      </w:tr>
      <w:tr w:rsidR="005B5CE7" w:rsidRPr="00D917B0" w14:paraId="1DF1A882" w14:textId="77777777" w:rsidTr="001E300E">
        <w:tc>
          <w:tcPr>
            <w:tcW w:w="1129" w:type="dxa"/>
            <w:gridSpan w:val="2"/>
          </w:tcPr>
          <w:p w14:paraId="1A6DF320" w14:textId="77777777" w:rsidR="005B5CE7" w:rsidRDefault="005B5CE7" w:rsidP="00414633">
            <w:r>
              <w:t>Auto</w:t>
            </w:r>
          </w:p>
        </w:tc>
        <w:tc>
          <w:tcPr>
            <w:tcW w:w="3261" w:type="dxa"/>
          </w:tcPr>
          <w:p w14:paraId="0714CB6D" w14:textId="77777777" w:rsidR="005B5CE7" w:rsidRDefault="005B5CE7" w:rsidP="00414633">
            <w:r>
              <w:t>33%</w:t>
            </w:r>
          </w:p>
        </w:tc>
        <w:tc>
          <w:tcPr>
            <w:tcW w:w="4677" w:type="dxa"/>
          </w:tcPr>
          <w:p w14:paraId="2052A787" w14:textId="56250A3B" w:rsidR="005B5CE7" w:rsidRPr="00910EFA" w:rsidRDefault="005B5CE7" w:rsidP="00414633">
            <w:r>
              <w:t>58%</w:t>
            </w:r>
          </w:p>
        </w:tc>
      </w:tr>
    </w:tbl>
    <w:p w14:paraId="43BD21EC" w14:textId="44EFD8FB" w:rsidR="00F6230F" w:rsidRDefault="00F37D40"/>
    <w:p w14:paraId="47B0E36E" w14:textId="77777777" w:rsidR="005E7FE8" w:rsidRDefault="005E7FE8"/>
    <w:p w14:paraId="0DA2C962" w14:textId="77777777" w:rsidR="005E7FE8" w:rsidRDefault="005E7FE8"/>
    <w:p w14:paraId="38CAF663" w14:textId="6811CAED" w:rsidR="00D269E0" w:rsidRDefault="00D269E0">
      <w:pPr>
        <w:rPr>
          <w:rFonts w:ascii="Arial" w:hAnsi="Arial" w:cs="Arial"/>
          <w:color w:val="000000"/>
        </w:rPr>
      </w:pPr>
      <w:r>
        <w:t>Ausführliche Angaben zur verwendeten Literatur umseitig</w:t>
      </w:r>
      <w:r>
        <w:br w:type="page"/>
      </w:r>
    </w:p>
    <w:p w14:paraId="4063E7E8" w14:textId="7FBAB552" w:rsidR="00104E30" w:rsidRPr="008E76F8" w:rsidRDefault="00104E30" w:rsidP="00D269E0">
      <w:pPr>
        <w:pStyle w:val="Default"/>
        <w:rPr>
          <w:b/>
          <w:bCs/>
          <w:sz w:val="22"/>
          <w:szCs w:val="22"/>
        </w:rPr>
      </w:pPr>
      <w:r w:rsidRPr="008E76F8">
        <w:rPr>
          <w:b/>
          <w:bCs/>
          <w:sz w:val="22"/>
          <w:szCs w:val="22"/>
        </w:rPr>
        <w:lastRenderedPageBreak/>
        <w:t>Verwendete Literatur:</w:t>
      </w:r>
    </w:p>
    <w:p w14:paraId="3FA6DEB6" w14:textId="77777777" w:rsidR="00D269E0" w:rsidRPr="00D269E0" w:rsidRDefault="00D269E0" w:rsidP="00D269E0">
      <w:pPr>
        <w:pStyle w:val="Default"/>
        <w:rPr>
          <w:sz w:val="22"/>
          <w:szCs w:val="22"/>
        </w:rPr>
      </w:pPr>
    </w:p>
    <w:p w14:paraId="0310F191" w14:textId="640307CE" w:rsidR="00104E30" w:rsidRPr="00D269E0" w:rsidRDefault="00291F8C" w:rsidP="00D269E0">
      <w:pPr>
        <w:pStyle w:val="Default"/>
        <w:rPr>
          <w:sz w:val="22"/>
          <w:szCs w:val="22"/>
        </w:rPr>
      </w:pPr>
      <w:r w:rsidRPr="00D269E0">
        <w:rPr>
          <w:sz w:val="22"/>
          <w:szCs w:val="22"/>
        </w:rPr>
        <w:t>Agora Verkehrswende (2018): Öffentlicher Raum ist</w:t>
      </w:r>
      <w:r w:rsidR="00E37D77">
        <w:rPr>
          <w:sz w:val="22"/>
          <w:szCs w:val="22"/>
        </w:rPr>
        <w:t xml:space="preserve"> </w:t>
      </w:r>
      <w:r w:rsidRPr="00D269E0">
        <w:rPr>
          <w:sz w:val="22"/>
          <w:szCs w:val="22"/>
        </w:rPr>
        <w:t>mehr wert. Ein Rechtsgutachten zu den Handlungsspielräumen</w:t>
      </w:r>
      <w:r w:rsidR="00E37D77">
        <w:rPr>
          <w:sz w:val="22"/>
          <w:szCs w:val="22"/>
        </w:rPr>
        <w:t xml:space="preserve"> </w:t>
      </w:r>
      <w:r w:rsidRPr="00D269E0">
        <w:rPr>
          <w:sz w:val="22"/>
          <w:szCs w:val="22"/>
        </w:rPr>
        <w:t>in Kommunen. 2. Auflage.</w:t>
      </w:r>
    </w:p>
    <w:p w14:paraId="363321CE" w14:textId="62A4BE11" w:rsidR="00D269E0" w:rsidRPr="00D269E0" w:rsidRDefault="00D269E0" w:rsidP="00D269E0">
      <w:pPr>
        <w:pStyle w:val="Default"/>
        <w:rPr>
          <w:sz w:val="22"/>
          <w:szCs w:val="22"/>
        </w:rPr>
      </w:pPr>
    </w:p>
    <w:p w14:paraId="1CD42DE7" w14:textId="4F3AE4C0" w:rsidR="00951285" w:rsidRDefault="00951285" w:rsidP="00D26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Bundesstiftung Baukultur (2020): Baukulturbericht 2020/21. Öffentliche Räume; Berlin</w:t>
      </w:r>
    </w:p>
    <w:p w14:paraId="605B85BC" w14:textId="77777777" w:rsidR="00951285" w:rsidRDefault="00951285" w:rsidP="00D269E0">
      <w:pPr>
        <w:pStyle w:val="Default"/>
        <w:rPr>
          <w:sz w:val="22"/>
          <w:szCs w:val="22"/>
        </w:rPr>
      </w:pPr>
    </w:p>
    <w:p w14:paraId="5EB9E604" w14:textId="12F1C692" w:rsidR="00D269E0" w:rsidRDefault="00D269E0" w:rsidP="00D26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Lehmbrock, Michael (2000): Straßennutzung und Stellplatzpflicht. Zur Entwicklung </w:t>
      </w:r>
      <w:proofErr w:type="spellStart"/>
      <w:r>
        <w:rPr>
          <w:sz w:val="22"/>
          <w:szCs w:val="22"/>
        </w:rPr>
        <w:t>öffentli-cher</w:t>
      </w:r>
      <w:proofErr w:type="spellEnd"/>
      <w:r>
        <w:rPr>
          <w:sz w:val="22"/>
          <w:szCs w:val="22"/>
        </w:rPr>
        <w:t xml:space="preserve"> Räume mit vielfältigen Nutzungschancen. </w:t>
      </w:r>
      <w:proofErr w:type="spellStart"/>
      <w:r>
        <w:rPr>
          <w:sz w:val="22"/>
          <w:szCs w:val="22"/>
        </w:rPr>
        <w:t>Difu</w:t>
      </w:r>
      <w:proofErr w:type="spellEnd"/>
      <w:r>
        <w:rPr>
          <w:sz w:val="22"/>
          <w:szCs w:val="22"/>
        </w:rPr>
        <w:t xml:space="preserve">-Beiträge zur Stadtforschung Nr. 32; Deutsches Institut für Urbanistik; Berlin. </w:t>
      </w:r>
    </w:p>
    <w:p w14:paraId="651C7108" w14:textId="77777777" w:rsidR="00D269E0" w:rsidRPr="00D269E0" w:rsidRDefault="00D269E0" w:rsidP="00D269E0">
      <w:pPr>
        <w:pStyle w:val="Default"/>
        <w:rPr>
          <w:sz w:val="22"/>
          <w:szCs w:val="22"/>
        </w:rPr>
      </w:pPr>
    </w:p>
    <w:p w14:paraId="57770925" w14:textId="77777777" w:rsidR="00D269E0" w:rsidRDefault="00D269E0" w:rsidP="00D26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Lenz, Barbara (2015): Die Stadt und das Auto in der Verkehrswissenschaft. In: Deutsche Akademie für Städtebau und Landesplanung (DASL): Stadt &amp; Auto. Almanach 2014 / 2015. Deutsche Akademie für Städtebau und Landesplanung; Berlin; S. 19–31. </w:t>
      </w:r>
    </w:p>
    <w:p w14:paraId="28E370E1" w14:textId="73191F79" w:rsidR="00D269E0" w:rsidRPr="00D269E0" w:rsidRDefault="00D269E0" w:rsidP="00D269E0">
      <w:pPr>
        <w:pStyle w:val="Default"/>
        <w:rPr>
          <w:sz w:val="22"/>
          <w:szCs w:val="22"/>
        </w:rPr>
      </w:pPr>
    </w:p>
    <w:p w14:paraId="427C6D4D" w14:textId="67FE5E74" w:rsidR="00D269E0" w:rsidRPr="000F535A" w:rsidRDefault="000F535A" w:rsidP="00D269E0">
      <w:pPr>
        <w:pStyle w:val="Default"/>
        <w:rPr>
          <w:sz w:val="22"/>
          <w:szCs w:val="22"/>
        </w:rPr>
      </w:pPr>
      <w:proofErr w:type="spellStart"/>
      <w:r w:rsidRPr="000F535A">
        <w:rPr>
          <w:sz w:val="22"/>
          <w:szCs w:val="22"/>
        </w:rPr>
        <w:t>Notz</w:t>
      </w:r>
      <w:proofErr w:type="spellEnd"/>
      <w:r w:rsidRPr="000F535A">
        <w:rPr>
          <w:sz w:val="22"/>
          <w:szCs w:val="22"/>
        </w:rPr>
        <w:t>, Jos Nino (2017): Die Privatisierung öffentlichen Raums durch parkende Kfz. Von der Tragödie einer Allmende – über Ursache, Wirkung und Legitimation einer gemeinwohlschädigenden Regulierungspraxis. IVP-</w:t>
      </w:r>
      <w:proofErr w:type="spellStart"/>
      <w:r w:rsidRPr="000F535A">
        <w:rPr>
          <w:sz w:val="22"/>
          <w:szCs w:val="22"/>
        </w:rPr>
        <w:t>Discussion</w:t>
      </w:r>
      <w:proofErr w:type="spellEnd"/>
      <w:r w:rsidRPr="000F535A">
        <w:rPr>
          <w:sz w:val="22"/>
          <w:szCs w:val="22"/>
        </w:rPr>
        <w:t xml:space="preserve"> Paper, 1/2017. Berlin</w:t>
      </w:r>
    </w:p>
    <w:p w14:paraId="2148269F" w14:textId="77777777" w:rsidR="000F535A" w:rsidRPr="00D269E0" w:rsidRDefault="000F535A" w:rsidP="00D269E0">
      <w:pPr>
        <w:pStyle w:val="Default"/>
        <w:rPr>
          <w:sz w:val="22"/>
          <w:szCs w:val="22"/>
        </w:rPr>
      </w:pPr>
    </w:p>
    <w:p w14:paraId="2EEE57C6" w14:textId="6FA9E62F" w:rsidR="00D269E0" w:rsidRDefault="00D269E0" w:rsidP="00D269E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Pfotenhauer</w:t>
      </w:r>
      <w:proofErr w:type="spellEnd"/>
      <w:r>
        <w:rPr>
          <w:sz w:val="22"/>
          <w:szCs w:val="22"/>
        </w:rPr>
        <w:t xml:space="preserve">, Erhart (2015): Auto und Stadt – Von der autogerechten Stadt zur Mobilität der Zukunft. In: Deutsche Akademie für Städtebau und Landesplanung (DASL): Stadt &amp; Auto. Almanach 2014 / 2015. Deutsche Akademie für Städtebau und Landesplanung; Berlin; S. 241–254. </w:t>
      </w:r>
    </w:p>
    <w:p w14:paraId="65694A9A" w14:textId="77777777" w:rsidR="00D269E0" w:rsidRPr="00D269E0" w:rsidRDefault="00D269E0" w:rsidP="00D269E0">
      <w:pPr>
        <w:pStyle w:val="Default"/>
        <w:rPr>
          <w:sz w:val="22"/>
          <w:szCs w:val="22"/>
        </w:rPr>
      </w:pPr>
    </w:p>
    <w:p w14:paraId="4689D604" w14:textId="634F611F" w:rsidR="00D269E0" w:rsidRDefault="00D269E0" w:rsidP="00D269E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Stößenreuther</w:t>
      </w:r>
      <w:proofErr w:type="spellEnd"/>
      <w:r>
        <w:rPr>
          <w:sz w:val="22"/>
          <w:szCs w:val="22"/>
        </w:rPr>
        <w:t xml:space="preserve">, Heinrich (2014): Wem gehört die Stadt? Der Flächen-Gerechtigkeits-Report. Agentur für clevere Städte; Berlin. </w:t>
      </w:r>
    </w:p>
    <w:p w14:paraId="0DE056EF" w14:textId="77777777" w:rsidR="00291F8C" w:rsidRDefault="00291F8C" w:rsidP="00291F8C">
      <w:pPr>
        <w:autoSpaceDE w:val="0"/>
        <w:autoSpaceDN w:val="0"/>
        <w:adjustRightInd w:val="0"/>
        <w:spacing w:after="0" w:line="240" w:lineRule="auto"/>
        <w:rPr>
          <w:rFonts w:ascii="BrixSlab-Light" w:hAnsi="BrixSlab-Light" w:cs="BrixSlab-Light"/>
          <w:sz w:val="18"/>
          <w:szCs w:val="18"/>
        </w:rPr>
      </w:pPr>
    </w:p>
    <w:p w14:paraId="2C19197A" w14:textId="77777777" w:rsidR="00291F8C" w:rsidRPr="00104E30" w:rsidRDefault="00291F8C" w:rsidP="00104E30">
      <w:pPr>
        <w:rPr>
          <w:rFonts w:ascii="BrixSlab-Bold" w:hAnsi="BrixSlab-Bold" w:cs="BrixSlab-Bold"/>
          <w:b/>
          <w:bCs/>
          <w:color w:val="006BAC"/>
          <w:sz w:val="18"/>
          <w:szCs w:val="18"/>
        </w:rPr>
      </w:pPr>
    </w:p>
    <w:sectPr w:rsidR="00291F8C" w:rsidRPr="00104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Slab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Slab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1F6F"/>
    <w:multiLevelType w:val="hybridMultilevel"/>
    <w:tmpl w:val="C0724F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7E"/>
    <w:rsid w:val="000F535A"/>
    <w:rsid w:val="00104E30"/>
    <w:rsid w:val="001E300E"/>
    <w:rsid w:val="002424A6"/>
    <w:rsid w:val="00291F8C"/>
    <w:rsid w:val="002C677E"/>
    <w:rsid w:val="002F6AF0"/>
    <w:rsid w:val="00371C4D"/>
    <w:rsid w:val="005B5CE7"/>
    <w:rsid w:val="005E7FE8"/>
    <w:rsid w:val="006A36CA"/>
    <w:rsid w:val="00770571"/>
    <w:rsid w:val="008E76F8"/>
    <w:rsid w:val="00910EFA"/>
    <w:rsid w:val="00951285"/>
    <w:rsid w:val="00D269E0"/>
    <w:rsid w:val="00E37D77"/>
    <w:rsid w:val="00F10E15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25CC"/>
  <w15:chartTrackingRefBased/>
  <w15:docId w15:val="{C9C11FC4-6961-4709-B08D-3FACACA9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77E"/>
    <w:pPr>
      <w:ind w:left="720"/>
      <w:contextualSpacing/>
    </w:pPr>
  </w:style>
  <w:style w:type="paragraph" w:customStyle="1" w:styleId="Default">
    <w:name w:val="Default"/>
    <w:rsid w:val="00D26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Tharan</dc:creator>
  <cp:keywords/>
  <dc:description/>
  <cp:lastModifiedBy>Almuth Tharan</cp:lastModifiedBy>
  <cp:revision>15</cp:revision>
  <dcterms:created xsi:type="dcterms:W3CDTF">2020-09-03T15:10:00Z</dcterms:created>
  <dcterms:modified xsi:type="dcterms:W3CDTF">2020-09-04T09:57:00Z</dcterms:modified>
</cp:coreProperties>
</file>